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1F" w:rsidRDefault="00905F1F" w:rsidP="00905F1F">
      <w:pPr>
        <w:jc w:val="center"/>
        <w:rPr>
          <w:rFonts w:ascii="Arial Narrow" w:hAnsi="Arial Narrow"/>
          <w:b/>
          <w:sz w:val="24"/>
          <w:szCs w:val="24"/>
        </w:rPr>
      </w:pPr>
      <w:r w:rsidRPr="001F3145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>
        <w:rPr>
          <w:rFonts w:ascii="Arial Narrow" w:hAnsi="Arial Narrow"/>
          <w:b/>
          <w:sz w:val="24"/>
          <w:szCs w:val="24"/>
        </w:rPr>
        <w:t>RENOVAÇÃO DO</w:t>
      </w:r>
      <w:r w:rsidRPr="001F3145">
        <w:rPr>
          <w:rFonts w:ascii="Arial Narrow" w:hAnsi="Arial Narrow"/>
          <w:b/>
          <w:sz w:val="24"/>
          <w:szCs w:val="24"/>
        </w:rPr>
        <w:t xml:space="preserve"> CERTIFICADO DE REGISTRO CADASTRAL </w:t>
      </w:r>
      <w:r>
        <w:rPr>
          <w:rFonts w:ascii="Arial Narrow" w:hAnsi="Arial Narrow"/>
          <w:b/>
          <w:sz w:val="24"/>
          <w:szCs w:val="24"/>
        </w:rPr>
        <w:t>–</w:t>
      </w:r>
      <w:r w:rsidRPr="001F3145">
        <w:rPr>
          <w:rFonts w:ascii="Arial Narrow" w:hAnsi="Arial Narrow"/>
          <w:b/>
          <w:sz w:val="24"/>
          <w:szCs w:val="24"/>
        </w:rPr>
        <w:t xml:space="preserve"> CRC</w:t>
      </w:r>
    </w:p>
    <w:p w:rsidR="00905F1F" w:rsidRDefault="00905F1F" w:rsidP="00905F1F">
      <w:pPr>
        <w:jc w:val="both"/>
        <w:rPr>
          <w:rFonts w:ascii="Arial Narrow" w:hAnsi="Arial Narrow"/>
          <w:sz w:val="24"/>
          <w:szCs w:val="24"/>
        </w:rPr>
      </w:pPr>
    </w:p>
    <w:p w:rsidR="00BD1F05" w:rsidRPr="005B6503" w:rsidRDefault="00BD1F05" w:rsidP="00BD1F05">
      <w:pPr>
        <w:pStyle w:val="PargrafodaLista"/>
        <w:numPr>
          <w:ilvl w:val="0"/>
          <w:numId w:val="1"/>
        </w:numPr>
        <w:rPr>
          <w:rFonts w:ascii="Arial Narrow" w:hAnsi="Arial Narrow"/>
          <w:color w:val="0000FF" w:themeColor="hyperlink"/>
          <w:u w:val="single"/>
        </w:rPr>
      </w:pPr>
      <w:r w:rsidRPr="005B6503">
        <w:rPr>
          <w:rFonts w:ascii="Arial Narrow" w:eastAsiaTheme="minorHAnsi" w:hAnsi="Arial Narrow" w:cs="Calibri"/>
        </w:rPr>
        <w:t>Solicitação de Cadastro deve ser requerida por representante legal</w:t>
      </w:r>
      <w:r>
        <w:rPr>
          <w:rFonts w:ascii="Arial Narrow" w:eastAsiaTheme="minorHAnsi" w:hAnsi="Arial Narrow" w:cs="Calibri"/>
        </w:rPr>
        <w:t>, até 07 (sete) dias úteis antes do término da validade do Certificado de Registro Cadastral - CRC</w:t>
      </w:r>
      <w:r w:rsidRPr="005B6503">
        <w:rPr>
          <w:rFonts w:ascii="Arial Narrow" w:eastAsiaTheme="minorHAnsi" w:hAnsi="Arial Narrow" w:cs="Calibri"/>
        </w:rPr>
        <w:t>.  Em caso de Procurador apresentar procuração pública + RG e CPF do procurador.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D122BF">
        <w:rPr>
          <w:rFonts w:ascii="Arial Narrow" w:hAnsi="Arial Narrow"/>
          <w:sz w:val="24"/>
          <w:szCs w:val="24"/>
        </w:rPr>
        <w:t>Alterações ocorridas no contrato social ou estatuto, bem como prova de recondução ou mudanças dos representantes legais, ocasião em que devem ser apresentadas as cópias dos RG/CPFs dos novos representantes.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Trabalhistas</w:t>
      </w:r>
    </w:p>
    <w:p w:rsidR="00BD1F05" w:rsidRPr="00AD3830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</w:t>
      </w:r>
      <w:r>
        <w:rPr>
          <w:rFonts w:ascii="Arial Narrow" w:hAnsi="Arial Narrow" w:cs="Arial"/>
        </w:rPr>
        <w:t>rtidão Conjunta Fazenda Federal e INSS</w:t>
      </w:r>
      <w:r w:rsidRPr="00F34868">
        <w:rPr>
          <w:rFonts w:ascii="Arial Narrow" w:hAnsi="Arial Narrow" w:cs="Arial"/>
        </w:rPr>
        <w:t>;</w:t>
      </w:r>
    </w:p>
    <w:p w:rsidR="00905F1F" w:rsidRPr="0050671F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do FGTS;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Declaração de Enquadramento/</w:t>
      </w:r>
      <w:proofErr w:type="spellStart"/>
      <w:r w:rsidRPr="00934836">
        <w:rPr>
          <w:rFonts w:ascii="Arial Narrow" w:hAnsi="Arial Narrow" w:cs="Arial"/>
          <w:sz w:val="24"/>
          <w:szCs w:val="24"/>
        </w:rPr>
        <w:t>Desenquadramento</w:t>
      </w:r>
      <w:proofErr w:type="spellEnd"/>
      <w:r w:rsidRPr="00934836">
        <w:rPr>
          <w:rFonts w:ascii="Arial Narrow" w:hAnsi="Arial Narrow" w:cs="Arial"/>
          <w:sz w:val="24"/>
          <w:szCs w:val="24"/>
        </w:rPr>
        <w:t xml:space="preserve"> de Microempresas e Empresas de Pequeno Porte (pode ser feita declaração simples assinada por representante legal);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da Fazenda Estadual;</w:t>
      </w:r>
    </w:p>
    <w:p w:rsidR="00905F1F" w:rsidRPr="00BD1F05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da Fazenda Municipal;</w:t>
      </w:r>
    </w:p>
    <w:p w:rsidR="00BD1F05" w:rsidRPr="00D130C3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10A71">
        <w:rPr>
          <w:rFonts w:ascii="Arial Narrow" w:hAnsi="Arial Narrow" w:cs="Arial"/>
        </w:rPr>
        <w:t>Certidão Negativa de pedido de falência / Recuperação Judicial;</w:t>
      </w:r>
    </w:p>
    <w:p w:rsidR="00BD1F05" w:rsidRPr="00BD1F05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hAnsi="Arial Narrow" w:cs="Arial"/>
        </w:rPr>
        <w:t xml:space="preserve">Em caso de certidão positiva de </w:t>
      </w:r>
      <w:r w:rsidRPr="00F10A71">
        <w:rPr>
          <w:rFonts w:ascii="Arial Narrow" w:hAnsi="Arial Narrow" w:cs="Arial"/>
        </w:rPr>
        <w:t>falência / Recuperação Judicial</w:t>
      </w:r>
      <w:r>
        <w:rPr>
          <w:rFonts w:ascii="Arial Narrow" w:hAnsi="Arial Narrow" w:cs="Arial"/>
        </w:rPr>
        <w:t>, favor apresentar Certidão Judicial que indique que o plano de recuperação foi aprovado em assembleia geral de credores e homologado pelo juiz.</w:t>
      </w:r>
    </w:p>
    <w:p w:rsidR="00BD1F05" w:rsidRPr="00F10A71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AC3A00">
        <w:rPr>
          <w:rFonts w:ascii="Arial Narrow" w:hAnsi="Arial Narrow" w:cs="Arial"/>
        </w:rPr>
        <w:t>Bala</w:t>
      </w:r>
      <w:r>
        <w:rPr>
          <w:rFonts w:ascii="Arial Narrow" w:hAnsi="Arial Narrow" w:cs="Arial"/>
        </w:rPr>
        <w:t xml:space="preserve">nço Patrimonial e Demonstração do Resultado do Exercício – DRE </w:t>
      </w:r>
      <w:r w:rsidRPr="00AC3A00">
        <w:rPr>
          <w:rFonts w:ascii="Arial Narrow" w:hAnsi="Arial Narrow" w:cs="Arial"/>
        </w:rPr>
        <w:t xml:space="preserve">dos dois últimos exercícios sociais </w:t>
      </w:r>
      <w:r>
        <w:rPr>
          <w:rFonts w:ascii="Arial Narrow" w:hAnsi="Arial Narrow" w:cs="Arial"/>
        </w:rPr>
        <w:t xml:space="preserve">arquivados em Junta Comercial </w:t>
      </w:r>
      <w:r w:rsidRPr="00AC3A00">
        <w:rPr>
          <w:rFonts w:ascii="Arial Narrow" w:hAnsi="Arial Narrow" w:cs="Arial"/>
        </w:rPr>
        <w:t>vedada a sua substituição por balancetes ou balanços provisórios;</w:t>
      </w:r>
    </w:p>
    <w:p w:rsidR="00BD1F05" w:rsidRPr="00F10A71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hAnsi="Arial Narrow" w:cs="Arial"/>
        </w:rPr>
        <w:t>Balanço de Abertura arquivado em Junta Comercial, no caso de empresa constituída no mesmo exercício</w:t>
      </w:r>
    </w:p>
    <w:p w:rsidR="00BD1F05" w:rsidRPr="00D130C3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hAnsi="Arial Narrow"/>
        </w:rPr>
        <w:t>Índices Financeiros</w:t>
      </w:r>
      <w:r w:rsidR="001C00D6" w:rsidRPr="001C00D6">
        <w:rPr>
          <w:rFonts w:ascii="Arial Narrow" w:hAnsi="Arial Narrow" w:cs="Arial"/>
        </w:rPr>
        <w:t xml:space="preserve"> </w:t>
      </w:r>
      <w:r w:rsidR="001C00D6" w:rsidRPr="00AC3A00">
        <w:rPr>
          <w:rFonts w:ascii="Arial Narrow" w:hAnsi="Arial Narrow" w:cs="Arial"/>
        </w:rPr>
        <w:t>dos dois últimos exercícios sociais</w:t>
      </w:r>
      <w:r>
        <w:rPr>
          <w:rFonts w:ascii="Arial Narrow" w:hAnsi="Arial Narrow"/>
        </w:rPr>
        <w:t xml:space="preserve">: Índice de Liquidez Geral e Índice de Solvência Geral </w:t>
      </w:r>
      <w:r w:rsidRPr="00F34868">
        <w:rPr>
          <w:rFonts w:ascii="Arial Narrow" w:hAnsi="Arial Narrow"/>
        </w:rPr>
        <w:t>(</w:t>
      </w:r>
      <w:r>
        <w:rPr>
          <w:rFonts w:ascii="Arial Narrow" w:hAnsi="Arial Narrow"/>
        </w:rPr>
        <w:t>Formulas/valores e resultados)</w:t>
      </w:r>
    </w:p>
    <w:p w:rsidR="00BD1F05" w:rsidRPr="00D130C3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D130C3">
        <w:rPr>
          <w:rFonts w:ascii="Arial Narrow" w:hAnsi="Arial Narrow"/>
        </w:rPr>
        <w:t>Para as empresas obrigadas ou optantes ao Sistema Público de Escrituração Digital (SPED), apresentar Balanço Patrimonial e Demonstrações contábeis na forma de Escrituração Contábil Digital (ECD)</w:t>
      </w:r>
      <w:r w:rsidRPr="009D59D1">
        <w:rPr>
          <w:rFonts w:ascii="Arial Narrow" w:hAnsi="Arial Narrow" w:cs="Arial"/>
        </w:rPr>
        <w:t xml:space="preserve"> </w:t>
      </w:r>
      <w:r w:rsidRPr="00AC3A00">
        <w:rPr>
          <w:rFonts w:ascii="Arial Narrow" w:hAnsi="Arial Narrow" w:cs="Arial"/>
        </w:rPr>
        <w:t>dos dois últimos exercícios sociais</w:t>
      </w:r>
      <w:r w:rsidRPr="00D130C3">
        <w:rPr>
          <w:rFonts w:ascii="Arial Narrow" w:hAnsi="Arial Narrow"/>
        </w:rPr>
        <w:t xml:space="preserve">, juntamente com o recibo de entrega, até a data especificada em Instrução Normativa da Receita Federal; </w:t>
      </w:r>
    </w:p>
    <w:p w:rsidR="00BD1F05" w:rsidRDefault="00BD1F05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D130C3">
        <w:rPr>
          <w:rFonts w:ascii="Arial Narrow" w:eastAsiaTheme="minorHAnsi" w:hAnsi="Arial Narrow" w:cs="Calibri"/>
        </w:rPr>
        <w:t>No caso de pessoa jurídica inativa, deverá apresentar comprovante da inatividade acompanhado de novo balanço de abertura ou balanço demonstrando seu patrimônio.</w:t>
      </w:r>
    </w:p>
    <w:p w:rsidR="00BD1F05" w:rsidRDefault="00BD1F05" w:rsidP="00BD1F05">
      <w:pPr>
        <w:pStyle w:val="PargrafodaLista"/>
        <w:ind w:left="720"/>
        <w:rPr>
          <w:rFonts w:ascii="Arial Narrow" w:eastAsiaTheme="minorHAnsi" w:hAnsi="Arial Narrow" w:cs="Calibri"/>
        </w:rPr>
      </w:pPr>
    </w:p>
    <w:p w:rsidR="00BD1F05" w:rsidRDefault="00BD1F05" w:rsidP="00BD1F05">
      <w:pPr>
        <w:pStyle w:val="PargrafodaLista"/>
        <w:ind w:left="720"/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IMPORTANTE: Os balanços patrimoniais, DRE, notas explicativas e índice financeiros deverão ser assinados por representante legal e por contabilista registrado no Conselho Regional de Contabilidade.</w:t>
      </w:r>
    </w:p>
    <w:p w:rsidR="00BD1F05" w:rsidRPr="00DF1714" w:rsidRDefault="00BD1F05" w:rsidP="00DF1714">
      <w:pPr>
        <w:rPr>
          <w:rFonts w:ascii="Arial Narrow" w:eastAsiaTheme="minorHAnsi" w:hAnsi="Arial Narrow" w:cs="Calibri"/>
        </w:rPr>
      </w:pPr>
    </w:p>
    <w:p w:rsidR="00BD1F05" w:rsidRPr="00BD1F05" w:rsidRDefault="00B66FF6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Em caso de alteração da área de atuação, d</w:t>
      </w:r>
      <w:r w:rsidR="00BD1F05" w:rsidRPr="00BD1F05">
        <w:rPr>
          <w:rFonts w:ascii="Arial Narrow" w:eastAsiaTheme="minorHAnsi" w:hAnsi="Arial Narrow" w:cs="Calibri"/>
        </w:rPr>
        <w:t>eclaração que indique a área de atuação principal e/ou secundária da empresa, que deve ser compatível com seu objeto comercial, previsto em contrato e no CNPJ.</w:t>
      </w:r>
    </w:p>
    <w:p w:rsidR="00BD1F05" w:rsidRPr="00D130C3" w:rsidRDefault="00B84D27" w:rsidP="00BD1F05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 xml:space="preserve">O interessado poderá incluir em seu registro cadastral </w:t>
      </w:r>
      <w:r w:rsidR="00BD1F05">
        <w:rPr>
          <w:rFonts w:ascii="Arial Narrow" w:eastAsiaTheme="minorHAnsi" w:hAnsi="Arial Narrow" w:cs="Calibri"/>
        </w:rPr>
        <w:t>Atestados de Capacidade Técnica</w:t>
      </w:r>
    </w:p>
    <w:p w:rsidR="00BD1F05" w:rsidRPr="00D130C3" w:rsidRDefault="00BD1F05" w:rsidP="00BD1F05">
      <w:pPr>
        <w:pStyle w:val="PargrafodaLista"/>
        <w:ind w:left="720"/>
        <w:rPr>
          <w:rFonts w:ascii="Arial Narrow" w:eastAsiaTheme="minorHAnsi" w:hAnsi="Arial Narrow" w:cs="Calibri"/>
        </w:rPr>
      </w:pPr>
    </w:p>
    <w:p w:rsidR="0053472F" w:rsidRPr="006F4972" w:rsidRDefault="0053472F" w:rsidP="0053472F">
      <w:pPr>
        <w:shd w:val="clear" w:color="auto" w:fill="FFFFFF"/>
        <w:jc w:val="both"/>
        <w:rPr>
          <w:rFonts w:ascii="Arial Narrow" w:hAnsi="Arial Narrow" w:cstheme="minorHAnsi"/>
        </w:rPr>
      </w:pPr>
    </w:p>
    <w:p w:rsidR="0053472F" w:rsidRPr="00DD0061" w:rsidRDefault="00DD0061" w:rsidP="0053472F">
      <w:pPr>
        <w:rPr>
          <w:rFonts w:ascii="Arial Narrow" w:eastAsiaTheme="minorHAnsi" w:hAnsi="Arial Narrow" w:cs="Calibri"/>
          <w:b/>
        </w:rPr>
      </w:pPr>
      <w:r w:rsidRPr="00DD0061">
        <w:rPr>
          <w:rFonts w:ascii="Arial Narrow" w:eastAsiaTheme="minorHAnsi" w:hAnsi="Arial Narrow" w:cs="Calibri"/>
          <w:b/>
        </w:rPr>
        <w:t xml:space="preserve">PARA ALTERAÇÃO NO CRC: </w:t>
      </w:r>
    </w:p>
    <w:p w:rsidR="00DD0061" w:rsidRPr="00D130C3" w:rsidRDefault="00DD0061" w:rsidP="0053472F">
      <w:pPr>
        <w:rPr>
          <w:rFonts w:ascii="Arial Narrow" w:eastAsiaTheme="minorHAnsi" w:hAnsi="Arial Narrow" w:cs="Calibri"/>
        </w:rPr>
      </w:pPr>
    </w:p>
    <w:p w:rsidR="00DD0061" w:rsidRPr="005B6503" w:rsidRDefault="00DD0061" w:rsidP="00DD0061">
      <w:pPr>
        <w:pStyle w:val="PargrafodaLista"/>
        <w:numPr>
          <w:ilvl w:val="0"/>
          <w:numId w:val="6"/>
        </w:numPr>
        <w:rPr>
          <w:rFonts w:ascii="Arial Narrow" w:hAnsi="Arial Narrow"/>
          <w:color w:val="0000FF" w:themeColor="hyperlink"/>
          <w:u w:val="single"/>
        </w:rPr>
      </w:pPr>
      <w:r w:rsidRPr="005B6503">
        <w:rPr>
          <w:rFonts w:ascii="Arial Narrow" w:eastAsiaTheme="minorHAnsi" w:hAnsi="Arial Narrow" w:cs="Calibri"/>
        </w:rPr>
        <w:t>Solicitação de Cadastro deve ser requerida por representante legal</w:t>
      </w:r>
      <w:r>
        <w:rPr>
          <w:rFonts w:ascii="Arial Narrow" w:eastAsiaTheme="minorHAnsi" w:hAnsi="Arial Narrow" w:cs="Calibri"/>
        </w:rPr>
        <w:t>, CRC deve estar em validade.</w:t>
      </w:r>
      <w:r w:rsidRPr="005B6503">
        <w:rPr>
          <w:rFonts w:ascii="Arial Narrow" w:eastAsiaTheme="minorHAnsi" w:hAnsi="Arial Narrow" w:cs="Calibri"/>
        </w:rPr>
        <w:t xml:space="preserve">  </w:t>
      </w:r>
      <w:proofErr w:type="spellStart"/>
      <w:r w:rsidRPr="005B6503">
        <w:rPr>
          <w:rFonts w:ascii="Arial Narrow" w:eastAsiaTheme="minorHAnsi" w:hAnsi="Arial Narrow" w:cs="Calibri"/>
        </w:rPr>
        <w:t>Em</w:t>
      </w:r>
      <w:proofErr w:type="spellEnd"/>
      <w:r w:rsidRPr="005B6503">
        <w:rPr>
          <w:rFonts w:ascii="Arial Narrow" w:eastAsiaTheme="minorHAnsi" w:hAnsi="Arial Narrow" w:cs="Calibri"/>
        </w:rPr>
        <w:t xml:space="preserve"> caso de Procurador apresentar procuração pública + RG e CPF do procurador.</w:t>
      </w:r>
    </w:p>
    <w:p w:rsidR="00DD0061" w:rsidRPr="00934836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  <w:sz w:val="24"/>
          <w:szCs w:val="24"/>
        </w:rPr>
      </w:pPr>
      <w:r w:rsidRPr="00D122BF">
        <w:rPr>
          <w:rFonts w:ascii="Arial Narrow" w:hAnsi="Arial Narrow"/>
          <w:sz w:val="24"/>
          <w:szCs w:val="24"/>
        </w:rPr>
        <w:t>Alterações ocorridas no contrato social ou estatuto, bem como prova de recondução ou mudanças dos representantes legais, ocasião em que devem ser apresentadas as cópias dos RG/CPFs dos novos representantes.</w:t>
      </w:r>
    </w:p>
    <w:p w:rsidR="00DD0061" w:rsidRPr="00F10A71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 w:rsidRPr="00AC3A00">
        <w:rPr>
          <w:rFonts w:ascii="Arial Narrow" w:hAnsi="Arial Narrow" w:cs="Arial"/>
        </w:rPr>
        <w:t>Bala</w:t>
      </w:r>
      <w:r>
        <w:rPr>
          <w:rFonts w:ascii="Arial Narrow" w:hAnsi="Arial Narrow" w:cs="Arial"/>
        </w:rPr>
        <w:t xml:space="preserve">nço Patrimonial e Demonstração do Resultado do Exercício – DRE </w:t>
      </w:r>
      <w:r w:rsidRPr="00AC3A00">
        <w:rPr>
          <w:rFonts w:ascii="Arial Narrow" w:hAnsi="Arial Narrow" w:cs="Arial"/>
        </w:rPr>
        <w:t xml:space="preserve">dos dois últimos exercícios sociais </w:t>
      </w:r>
      <w:r>
        <w:rPr>
          <w:rFonts w:ascii="Arial Narrow" w:hAnsi="Arial Narrow" w:cs="Arial"/>
        </w:rPr>
        <w:t xml:space="preserve">arquivados em Junta Comercial </w:t>
      </w:r>
      <w:r w:rsidRPr="00AC3A00">
        <w:rPr>
          <w:rFonts w:ascii="Arial Narrow" w:hAnsi="Arial Narrow" w:cs="Arial"/>
        </w:rPr>
        <w:t>vedada a sua substituição por balancetes ou balanços provisórios;</w:t>
      </w:r>
    </w:p>
    <w:p w:rsidR="00DD0061" w:rsidRPr="00F10A71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>
        <w:rPr>
          <w:rFonts w:ascii="Arial Narrow" w:hAnsi="Arial Narrow" w:cs="Arial"/>
        </w:rPr>
        <w:lastRenderedPageBreak/>
        <w:t>Balanço de Abertura arquivado em Junta Comercial, no caso de empresa constituída no mesmo exercício</w:t>
      </w:r>
    </w:p>
    <w:p w:rsidR="00DD0061" w:rsidRPr="00D130C3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>
        <w:rPr>
          <w:rFonts w:ascii="Arial Narrow" w:hAnsi="Arial Narrow"/>
        </w:rPr>
        <w:t>Índices Financeiros</w:t>
      </w:r>
      <w:r w:rsidRPr="001C00D6">
        <w:rPr>
          <w:rFonts w:ascii="Arial Narrow" w:hAnsi="Arial Narrow" w:cs="Arial"/>
        </w:rPr>
        <w:t xml:space="preserve"> </w:t>
      </w:r>
      <w:r w:rsidRPr="00AC3A00">
        <w:rPr>
          <w:rFonts w:ascii="Arial Narrow" w:hAnsi="Arial Narrow" w:cs="Arial"/>
        </w:rPr>
        <w:t>dos dois últimos exercícios sociais</w:t>
      </w:r>
      <w:r>
        <w:rPr>
          <w:rFonts w:ascii="Arial Narrow" w:hAnsi="Arial Narrow"/>
        </w:rPr>
        <w:t xml:space="preserve">: Índice de Liquidez Geral e Índice de Solvência Geral </w:t>
      </w:r>
      <w:r w:rsidRPr="00F34868">
        <w:rPr>
          <w:rFonts w:ascii="Arial Narrow" w:hAnsi="Arial Narrow"/>
        </w:rPr>
        <w:t>(</w:t>
      </w:r>
      <w:r>
        <w:rPr>
          <w:rFonts w:ascii="Arial Narrow" w:hAnsi="Arial Narrow"/>
        </w:rPr>
        <w:t>Formulas/valores e resultados)</w:t>
      </w:r>
    </w:p>
    <w:p w:rsidR="00DD0061" w:rsidRPr="00D130C3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 w:rsidRPr="00D130C3">
        <w:rPr>
          <w:rFonts w:ascii="Arial Narrow" w:hAnsi="Arial Narrow"/>
        </w:rPr>
        <w:t>Para as empresas obrigadas ou optantes ao Sistema Público de Escrituração Digital (SPED), apresentar Balanço Patrimonial e Demonstrações contábeis na forma de Escrituração Contábil Digital (ECD)</w:t>
      </w:r>
      <w:r w:rsidRPr="009D59D1">
        <w:rPr>
          <w:rFonts w:ascii="Arial Narrow" w:hAnsi="Arial Narrow" w:cs="Arial"/>
        </w:rPr>
        <w:t xml:space="preserve"> </w:t>
      </w:r>
      <w:r w:rsidRPr="00AC3A00">
        <w:rPr>
          <w:rFonts w:ascii="Arial Narrow" w:hAnsi="Arial Narrow" w:cs="Arial"/>
        </w:rPr>
        <w:t>dos dois últimos exercícios sociais</w:t>
      </w:r>
      <w:r w:rsidRPr="00D130C3">
        <w:rPr>
          <w:rFonts w:ascii="Arial Narrow" w:hAnsi="Arial Narrow"/>
        </w:rPr>
        <w:t xml:space="preserve">, juntamente com o recibo de entrega, até a data especificada em Instrução Normativa da Receita Federal; </w:t>
      </w:r>
    </w:p>
    <w:p w:rsidR="00DD0061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 w:rsidRPr="00D130C3">
        <w:rPr>
          <w:rFonts w:ascii="Arial Narrow" w:eastAsiaTheme="minorHAnsi" w:hAnsi="Arial Narrow" w:cs="Calibri"/>
        </w:rPr>
        <w:t>No caso de pessoa jurídica inativa, deverá apresentar comprovante da inatividade acompanhado de novo balanço de abertura ou balanço demonstrando seu patrimônio.</w:t>
      </w:r>
    </w:p>
    <w:p w:rsidR="00DD0061" w:rsidRPr="00934836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Declaração de Enquadramento/</w:t>
      </w:r>
      <w:proofErr w:type="spellStart"/>
      <w:r w:rsidRPr="00934836">
        <w:rPr>
          <w:rFonts w:ascii="Arial Narrow" w:hAnsi="Arial Narrow" w:cs="Arial"/>
          <w:sz w:val="24"/>
          <w:szCs w:val="24"/>
        </w:rPr>
        <w:t>Desenquadramento</w:t>
      </w:r>
      <w:proofErr w:type="spellEnd"/>
      <w:r w:rsidRPr="00934836">
        <w:rPr>
          <w:rFonts w:ascii="Arial Narrow" w:hAnsi="Arial Narrow" w:cs="Arial"/>
          <w:sz w:val="24"/>
          <w:szCs w:val="24"/>
        </w:rPr>
        <w:t xml:space="preserve"> de Microempresas e Empresas de Pequeno Porte (pode ser feita declaração simples assinada por representante legal);</w:t>
      </w:r>
    </w:p>
    <w:p w:rsidR="00DD0061" w:rsidRDefault="00DD0061" w:rsidP="00DD0061">
      <w:pPr>
        <w:pStyle w:val="PargrafodaLista"/>
        <w:ind w:left="720"/>
        <w:rPr>
          <w:rFonts w:ascii="Arial Narrow" w:eastAsiaTheme="minorHAnsi" w:hAnsi="Arial Narrow" w:cs="Calibri"/>
        </w:rPr>
      </w:pPr>
    </w:p>
    <w:p w:rsidR="00DD0061" w:rsidRDefault="00DD0061" w:rsidP="00DD0061">
      <w:pPr>
        <w:pStyle w:val="PargrafodaLista"/>
        <w:ind w:left="720"/>
        <w:rPr>
          <w:rFonts w:ascii="Arial Narrow" w:eastAsiaTheme="minorHAnsi" w:hAnsi="Arial Narrow" w:cs="Calibri"/>
        </w:rPr>
      </w:pPr>
    </w:p>
    <w:p w:rsidR="00DD0061" w:rsidRDefault="00DD0061" w:rsidP="00DD0061">
      <w:pPr>
        <w:pStyle w:val="PargrafodaLista"/>
        <w:ind w:left="720"/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IMPORTANTE: Os balanços patrimoniais, DRE, notas explicativas e índice financeiros deverão ser assinados por representante legal e por contabilista registrado no Conselho Regional de Contabilidade.</w:t>
      </w:r>
    </w:p>
    <w:p w:rsidR="00DD0061" w:rsidRPr="00DF1714" w:rsidRDefault="00DD0061" w:rsidP="00DD0061">
      <w:pPr>
        <w:rPr>
          <w:rFonts w:ascii="Arial Narrow" w:eastAsiaTheme="minorHAnsi" w:hAnsi="Arial Narrow" w:cs="Calibri"/>
        </w:rPr>
      </w:pPr>
    </w:p>
    <w:p w:rsidR="00DD0061" w:rsidRPr="00BD1F05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Em caso de alteração da área de atuação, d</w:t>
      </w:r>
      <w:r w:rsidRPr="00BD1F05">
        <w:rPr>
          <w:rFonts w:ascii="Arial Narrow" w:eastAsiaTheme="minorHAnsi" w:hAnsi="Arial Narrow" w:cs="Calibri"/>
        </w:rPr>
        <w:t>eclaração que indique a área de atuação principal e/ou secundária da empresa, que deve ser compatível com seu objeto comercial, previsto em contrato e no CNPJ.</w:t>
      </w:r>
    </w:p>
    <w:p w:rsidR="00DD0061" w:rsidRPr="00D130C3" w:rsidRDefault="00DD0061" w:rsidP="00DD0061">
      <w:pPr>
        <w:pStyle w:val="PargrafodaLista"/>
        <w:numPr>
          <w:ilvl w:val="0"/>
          <w:numId w:val="6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O interessado poderá incluir em seu registro cadastral Atestados de Capacidade Técnica</w:t>
      </w:r>
    </w:p>
    <w:p w:rsidR="00BD1F05" w:rsidRPr="00BD1F05" w:rsidRDefault="00BD1F05" w:rsidP="00BD1F05">
      <w:pPr>
        <w:pStyle w:val="PargrafodaLista"/>
        <w:ind w:left="501"/>
        <w:rPr>
          <w:rFonts w:ascii="Arial Narrow" w:eastAsiaTheme="minorHAnsi" w:hAnsi="Arial Narrow" w:cs="Calibri"/>
        </w:rPr>
      </w:pPr>
      <w:bookmarkStart w:id="0" w:name="_GoBack"/>
      <w:bookmarkEnd w:id="0"/>
    </w:p>
    <w:sectPr w:rsidR="00BD1F05" w:rsidRPr="00BD1F05" w:rsidSect="0066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07"/>
    <w:multiLevelType w:val="hybridMultilevel"/>
    <w:tmpl w:val="6C6A7C4A"/>
    <w:lvl w:ilvl="0" w:tplc="5CCEBAB0">
      <w:start w:val="1"/>
      <w:numFmt w:val="decimal"/>
      <w:lvlText w:val="%1."/>
      <w:lvlJc w:val="left"/>
      <w:pPr>
        <w:ind w:left="501" w:hanging="360"/>
      </w:pPr>
      <w:rPr>
        <w:rFonts w:eastAsia="Verdana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E3E0261"/>
    <w:multiLevelType w:val="hybridMultilevel"/>
    <w:tmpl w:val="264448B2"/>
    <w:lvl w:ilvl="0" w:tplc="9C500F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E2F412E"/>
    <w:multiLevelType w:val="hybridMultilevel"/>
    <w:tmpl w:val="43E64E66"/>
    <w:lvl w:ilvl="0" w:tplc="F5CC3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2931"/>
    <w:multiLevelType w:val="hybridMultilevel"/>
    <w:tmpl w:val="43E64E66"/>
    <w:lvl w:ilvl="0" w:tplc="F5CC3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F0247"/>
    <w:multiLevelType w:val="hybridMultilevel"/>
    <w:tmpl w:val="F2703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23A47"/>
    <w:multiLevelType w:val="hybridMultilevel"/>
    <w:tmpl w:val="355E9F9E"/>
    <w:lvl w:ilvl="0" w:tplc="FEAE1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1F"/>
    <w:rsid w:val="001C00D6"/>
    <w:rsid w:val="002F12BD"/>
    <w:rsid w:val="00457C8F"/>
    <w:rsid w:val="0053472F"/>
    <w:rsid w:val="0066021A"/>
    <w:rsid w:val="00905F1F"/>
    <w:rsid w:val="00B66FF6"/>
    <w:rsid w:val="00B84D27"/>
    <w:rsid w:val="00BD1F05"/>
    <w:rsid w:val="00DD0061"/>
    <w:rsid w:val="00D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EA57"/>
  <w15:docId w15:val="{C41F732A-7306-4C4E-B9A2-5C490147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00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F1F"/>
  </w:style>
  <w:style w:type="character" w:styleId="Hyperlink">
    <w:name w:val="Hyperlink"/>
    <w:basedOn w:val="Fontepargpadro"/>
    <w:uiPriority w:val="99"/>
    <w:unhideWhenUsed/>
    <w:rsid w:val="0053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Games Portables - Brasil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N1gh7w0lf</dc:creator>
  <cp:lastModifiedBy>Challa de Medeiros Silva</cp:lastModifiedBy>
  <cp:revision>9</cp:revision>
  <dcterms:created xsi:type="dcterms:W3CDTF">2023-04-26T15:12:00Z</dcterms:created>
  <dcterms:modified xsi:type="dcterms:W3CDTF">2023-08-07T15:08:00Z</dcterms:modified>
</cp:coreProperties>
</file>